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0810AC0"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802731">
        <w:rPr>
          <w:rFonts w:eastAsia="Times New Roman"/>
          <w:b/>
          <w:noProof/>
          <w:sz w:val="24"/>
        </w:rPr>
        <w:t>2</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20</w:t>
      </w:r>
      <w:r w:rsidR="00A538D3">
        <w:rPr>
          <w:rFonts w:eastAsia="Times New Roman"/>
          <w:b/>
          <w:noProof/>
          <w:sz w:val="24"/>
        </w:rPr>
        <w:t>5975</w:t>
      </w:r>
      <w:bookmarkStart w:id="4" w:name="_GoBack"/>
      <w:bookmarkEnd w:id="4"/>
    </w:p>
    <w:p w14:paraId="38445688" w14:textId="6B2EF37D"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802731">
        <w:rPr>
          <w:rFonts w:eastAsia="SimSun"/>
          <w:bCs w:val="0"/>
          <w:sz w:val="24"/>
          <w:lang w:eastAsia="zh-CN"/>
        </w:rPr>
        <w:t>21 Feb</w:t>
      </w:r>
      <w:r w:rsidR="006D4E0E">
        <w:rPr>
          <w:rFonts w:eastAsia="SimSun"/>
          <w:bCs w:val="0"/>
          <w:sz w:val="24"/>
          <w:lang w:eastAsia="zh-CN"/>
        </w:rPr>
        <w:t xml:space="preserve"> - </w:t>
      </w:r>
      <w:r w:rsidR="00802731">
        <w:rPr>
          <w:rFonts w:eastAsia="SimSun"/>
          <w:bCs w:val="0"/>
          <w:sz w:val="24"/>
          <w:lang w:eastAsia="zh-CN"/>
        </w:rPr>
        <w:t>03</w:t>
      </w:r>
      <w:r>
        <w:rPr>
          <w:rFonts w:eastAsia="SimSun"/>
          <w:bCs w:val="0"/>
          <w:sz w:val="24"/>
          <w:lang w:eastAsia="zh-CN"/>
        </w:rPr>
        <w:t xml:space="preserve"> </w:t>
      </w:r>
      <w:r w:rsidR="00802731">
        <w:rPr>
          <w:rFonts w:eastAsia="SimSun"/>
          <w:bCs w:val="0"/>
          <w:sz w:val="24"/>
          <w:lang w:eastAsia="zh-CN"/>
        </w:rPr>
        <w:t>Mar</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947BCE2"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C0C72">
        <w:rPr>
          <w:rFonts w:ascii="Arial" w:hAnsi="Arial" w:cs="Arial"/>
          <w:sz w:val="22"/>
        </w:rPr>
        <w:t>eIAB – case#6 intra node TAE</w:t>
      </w:r>
    </w:p>
    <w:p w14:paraId="0F34F3E0" w14:textId="2D9808B3"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C0828">
        <w:rPr>
          <w:rFonts w:ascii="Arial" w:hAnsi="Arial" w:cs="Arial"/>
          <w:sz w:val="22"/>
        </w:rPr>
        <w:t>10.17.2.2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7852E348" w:rsidR="00C71D3F" w:rsidRDefault="00C71D3F" w:rsidP="00214F09">
      <w:pPr>
        <w:rPr>
          <w:lang w:eastAsia="zh-CN"/>
        </w:rPr>
      </w:pPr>
      <w:r>
        <w:rPr>
          <w:rFonts w:hint="eastAsia"/>
          <w:lang w:eastAsia="zh-CN"/>
        </w:rPr>
        <w:t>I</w:t>
      </w:r>
      <w:r>
        <w:rPr>
          <w:lang w:eastAsia="zh-CN"/>
        </w:rPr>
        <w:t xml:space="preserve">n the last meeting </w:t>
      </w:r>
      <w:r w:rsidR="00DC0C72">
        <w:rPr>
          <w:lang w:eastAsia="zh-CN"/>
        </w:rPr>
        <w:t>the following open issue remained</w:t>
      </w:r>
    </w:p>
    <w:p w14:paraId="00696F23" w14:textId="28859A18" w:rsidR="00DC0C72" w:rsidRPr="00DC0C72" w:rsidRDefault="00DC0C72" w:rsidP="00DC0C72">
      <w:pPr>
        <w:rPr>
          <w:rFonts w:eastAsia="Malgun Gothic" w:hint="eastAsia"/>
          <w:b/>
          <w:u w:val="single"/>
          <w:lang w:eastAsia="ko-KR"/>
        </w:rPr>
      </w:pPr>
      <w:r>
        <w:rPr>
          <w:b/>
          <w:u w:val="single"/>
          <w:lang w:eastAsia="ko-KR"/>
        </w:rPr>
        <w:t>Timing error between [intra-node] MT TX and DU TX for case#6</w:t>
      </w:r>
    </w:p>
    <w:p w14:paraId="67D95333" w14:textId="77777777" w:rsidR="00DC0C72" w:rsidRPr="00354B0D" w:rsidRDefault="00DC0C72" w:rsidP="00DC0C72">
      <w:pPr>
        <w:pStyle w:val="ListParagraph"/>
        <w:numPr>
          <w:ilvl w:val="0"/>
          <w:numId w:val="27"/>
        </w:numPr>
        <w:ind w:firstLineChars="0"/>
        <w:contextualSpacing/>
        <w:rPr>
          <w:lang w:eastAsia="zh-CN"/>
        </w:rPr>
      </w:pPr>
      <w:r w:rsidRPr="00354B0D">
        <w:rPr>
          <w:lang w:eastAsia="zh-CN"/>
        </w:rPr>
        <w:t xml:space="preserve">Option 1: To specify TAE between IAB-MT and IAB-DU in timing case #6 </w:t>
      </w:r>
    </w:p>
    <w:p w14:paraId="1759C24B" w14:textId="77777777" w:rsidR="00DC0C72" w:rsidRPr="00354B0D" w:rsidRDefault="00DC0C72" w:rsidP="00DC0C72">
      <w:pPr>
        <w:pStyle w:val="ListParagraph"/>
        <w:numPr>
          <w:ilvl w:val="2"/>
          <w:numId w:val="27"/>
        </w:numPr>
        <w:ind w:firstLineChars="0"/>
        <w:contextualSpacing/>
        <w:rPr>
          <w:lang w:eastAsia="zh-CN"/>
        </w:rPr>
      </w:pPr>
      <w:r w:rsidRPr="00354B0D">
        <w:rPr>
          <w:lang w:eastAsia="zh-CN"/>
        </w:rPr>
        <w:t>The requirement value is min (3us , 4.69 / (SCS/15 kHz) µs.</w:t>
      </w:r>
    </w:p>
    <w:p w14:paraId="697F7549" w14:textId="77777777" w:rsidR="00DC0C72" w:rsidRPr="00354B0D" w:rsidRDefault="00DC0C72" w:rsidP="00DC0C72">
      <w:pPr>
        <w:pStyle w:val="ListParagraph"/>
        <w:numPr>
          <w:ilvl w:val="0"/>
          <w:numId w:val="27"/>
        </w:numPr>
        <w:ind w:firstLineChars="0"/>
        <w:contextualSpacing/>
        <w:rPr>
          <w:lang w:eastAsia="zh-CN"/>
        </w:rPr>
      </w:pPr>
      <w:r w:rsidRPr="00354B0D">
        <w:rPr>
          <w:lang w:eastAsia="zh-CN"/>
        </w:rPr>
        <w:t>Option 2: No TAE between IAB-MT and IAB-DU</w:t>
      </w:r>
    </w:p>
    <w:p w14:paraId="263C74A0" w14:textId="3D670BAA" w:rsidR="00DC0C72" w:rsidRPr="00DC0C72" w:rsidRDefault="00DC0C72" w:rsidP="00214F09">
      <w:pPr>
        <w:rPr>
          <w:rFonts w:hint="eastAsia"/>
          <w:lang w:eastAsia="zh-CN"/>
        </w:rPr>
      </w:pPr>
      <w:r>
        <w:rPr>
          <w:rFonts w:hint="eastAsia"/>
          <w:lang w:eastAsia="zh-CN"/>
        </w:rPr>
        <w:t>In</w:t>
      </w:r>
      <w:r>
        <w:rPr>
          <w:lang w:eastAsia="zh-CN"/>
        </w:rPr>
        <w:t xml:space="preserve"> this paper we further discuss our view</w:t>
      </w:r>
    </w:p>
    <w:p w14:paraId="026158DF" w14:textId="0BE41561" w:rsidR="00975261" w:rsidRDefault="00975261" w:rsidP="00F83302">
      <w:pPr>
        <w:pStyle w:val="Heading1"/>
        <w:numPr>
          <w:ilvl w:val="0"/>
          <w:numId w:val="2"/>
        </w:numPr>
      </w:pPr>
      <w:r>
        <w:t>Discussion</w:t>
      </w:r>
    </w:p>
    <w:p w14:paraId="6090CD9F" w14:textId="690E6DED" w:rsidR="00302806" w:rsidRDefault="00DC0C72" w:rsidP="00952526">
      <w:pPr>
        <w:rPr>
          <w:lang w:eastAsia="sv-SE"/>
        </w:rPr>
      </w:pPr>
      <w:r>
        <w:rPr>
          <w:rFonts w:hint="eastAsia"/>
          <w:lang w:eastAsia="sv-SE"/>
        </w:rPr>
        <w:t>C</w:t>
      </w:r>
      <w:r>
        <w:rPr>
          <w:lang w:eastAsia="sv-SE"/>
        </w:rPr>
        <w:t>ase 6 refers to an IAB-DU and an IAB-MT transmitting simultaneously. Intra node implies either the same TRX or possibly different TRX’s in the same system. Either way with beams in different directions.</w:t>
      </w:r>
    </w:p>
    <w:p w14:paraId="28D64036" w14:textId="11D8DE40" w:rsidR="00107101" w:rsidRDefault="00107101" w:rsidP="00952526">
      <w:pPr>
        <w:rPr>
          <w:lang w:eastAsia="sv-SE"/>
        </w:rPr>
      </w:pPr>
      <w:r>
        <w:rPr>
          <w:lang w:eastAsia="sv-SE"/>
        </w:rPr>
        <w:t>Whilst it</w:t>
      </w:r>
      <w:r w:rsidR="00927765">
        <w:rPr>
          <w:lang w:eastAsia="sv-SE"/>
        </w:rPr>
        <w:t>’</w:t>
      </w:r>
      <w:r>
        <w:rPr>
          <w:lang w:eastAsia="sv-SE"/>
        </w:rPr>
        <w:t>s clear that there is a need for the signals to be aligned it’s not clear that this translates to a need to set a specific requirement for the timing in the RF specification.</w:t>
      </w:r>
    </w:p>
    <w:p w14:paraId="5E7021A7" w14:textId="6A142C14" w:rsidR="00107101" w:rsidRDefault="00107101" w:rsidP="00952526">
      <w:pPr>
        <w:rPr>
          <w:lang w:eastAsia="sv-SE"/>
        </w:rPr>
      </w:pPr>
      <w:r>
        <w:rPr>
          <w:lang w:eastAsia="sv-SE"/>
        </w:rPr>
        <w:t xml:space="preserve">The existing TAE requirements cover intra band carrier aggregation with MIMO where the alignment of signals through the radio hardware must be aligned with 3us. </w:t>
      </w:r>
      <w:r w:rsidR="00927765">
        <w:rPr>
          <w:lang w:eastAsia="sv-SE"/>
        </w:rPr>
        <w:t>Once again this is the alignment of 2 different signals through the same hardware being compared at the output. Which in RF terms is very similar to the CASE#6 scenario, the only difference being that in this case one of the signals is of IAB-MT type.</w:t>
      </w:r>
    </w:p>
    <w:p w14:paraId="43B68C81" w14:textId="1F18D370" w:rsidR="00927765" w:rsidRDefault="00927765" w:rsidP="00952526">
      <w:pPr>
        <w:rPr>
          <w:lang w:eastAsia="sv-SE"/>
        </w:rPr>
      </w:pPr>
      <w:r w:rsidRPr="00927765">
        <w:rPr>
          <w:b/>
          <w:lang w:eastAsia="sv-SE"/>
        </w:rPr>
        <w:t xml:space="preserve">Observation 1: </w:t>
      </w:r>
      <w:r>
        <w:rPr>
          <w:lang w:eastAsia="sv-SE"/>
        </w:rPr>
        <w:t>For intra-node case#6 the timing through the RF TRX is the same as the existing TAE requirements.</w:t>
      </w:r>
    </w:p>
    <w:p w14:paraId="6326ADCB" w14:textId="539AB7AA" w:rsidR="00DC0C72" w:rsidRDefault="00927765" w:rsidP="00952526">
      <w:pPr>
        <w:rPr>
          <w:lang w:eastAsia="sv-SE"/>
        </w:rPr>
      </w:pPr>
      <w:r>
        <w:rPr>
          <w:lang w:eastAsia="sv-SE"/>
        </w:rPr>
        <w:t>There exists the possibility the the BB generating the IAB-DU and IAB-MT signals are out of synch which could result in the signals at the antennas port being misaligned but this is where the cell phase synch requirement should prevent any misalignment. This type of timing error should not be dealt with in the RF specification as the RF cannot know or correct such a misalignment.</w:t>
      </w:r>
    </w:p>
    <w:p w14:paraId="02986AE4" w14:textId="4A1C2783" w:rsidR="00927765" w:rsidRDefault="00927765" w:rsidP="00952526">
      <w:pPr>
        <w:rPr>
          <w:lang w:eastAsia="sv-SE"/>
        </w:rPr>
      </w:pPr>
      <w:r w:rsidRPr="00927765">
        <w:rPr>
          <w:b/>
          <w:lang w:eastAsia="sv-SE"/>
        </w:rPr>
        <w:t>Observation 2:</w:t>
      </w:r>
      <w:r>
        <w:rPr>
          <w:lang w:eastAsia="sv-SE"/>
        </w:rPr>
        <w:t xml:space="preserve"> BB </w:t>
      </w:r>
      <w:r>
        <w:rPr>
          <w:lang w:eastAsia="sv-SE"/>
        </w:rPr>
        <w:t>misalignment</w:t>
      </w:r>
      <w:r>
        <w:rPr>
          <w:lang w:eastAsia="sv-SE"/>
        </w:rPr>
        <w:t xml:space="preserve"> of signals should be covered by the cell phase alignment and should not be in the RF specification.</w:t>
      </w:r>
    </w:p>
    <w:p w14:paraId="5EE6A8D8" w14:textId="0E8FA947" w:rsidR="00927765" w:rsidRDefault="00927765" w:rsidP="00952526">
      <w:pPr>
        <w:rPr>
          <w:lang w:eastAsia="sv-SE"/>
        </w:rPr>
      </w:pPr>
      <w:r>
        <w:rPr>
          <w:lang w:eastAsia="sv-SE"/>
        </w:rPr>
        <w:t>Clearly it is possible to set a TAE requirement using aligned BB signals of IAB-DU and IAB-MT type and set an RF requirement, however we should not set requirements if we do not need to, there are many examples where if one requirements is deemed to cover the performance needed to solve multiple issues then only the worst case requirement is specified. As explained we do not see how an RF TAE requirement specifically for case#6 is any different from the existing TAE requirements as the hardware is the same.</w:t>
      </w:r>
    </w:p>
    <w:p w14:paraId="5BB374AB" w14:textId="6C85599D" w:rsidR="00927765" w:rsidRDefault="00AD0F89" w:rsidP="00952526">
      <w:pPr>
        <w:rPr>
          <w:lang w:eastAsia="sv-SE"/>
        </w:rPr>
      </w:pPr>
      <w:r>
        <w:rPr>
          <w:lang w:eastAsia="sv-SE"/>
        </w:rPr>
        <w:t xml:space="preserve">While it’s is often stated that conformance issue should not impact the core </w:t>
      </w:r>
      <w:r w:rsidR="00DD48C5">
        <w:rPr>
          <w:lang w:eastAsia="sv-SE"/>
        </w:rPr>
        <w:t xml:space="preserve">(which we agree with in principle) </w:t>
      </w:r>
      <w:r>
        <w:rPr>
          <w:lang w:eastAsia="sv-SE"/>
        </w:rPr>
        <w:t xml:space="preserve">it is </w:t>
      </w:r>
      <w:r w:rsidR="00DD48C5">
        <w:rPr>
          <w:lang w:eastAsia="sv-SE"/>
        </w:rPr>
        <w:t xml:space="preserve">however </w:t>
      </w:r>
      <w:r>
        <w:rPr>
          <w:lang w:eastAsia="sv-SE"/>
        </w:rPr>
        <w:t xml:space="preserve">also worth considering that if a significant conformance impact occurs due to adding a requirement which is not  explicitly required then we should consider this. For a conducted set up this is maybe not a big issue but for OTA as the beams need to be in different direction it means a chamber with 2 calibrated paths in different directions so the the beams can be separated. Generally anechoic chambers provide a single direction which is calibrated, this could be even more of an issue for CATR which is also commonly used. </w:t>
      </w:r>
    </w:p>
    <w:p w14:paraId="745796E9" w14:textId="47830262" w:rsidR="00DD48C5" w:rsidRDefault="00DD48C5" w:rsidP="00DD48C5">
      <w:pPr>
        <w:jc w:val="center"/>
        <w:rPr>
          <w:lang w:eastAsia="sv-SE"/>
        </w:rPr>
      </w:pPr>
      <w:r w:rsidRPr="004565D4">
        <w:rPr>
          <w:noProof/>
          <w:lang w:val="en-US" w:eastAsia="zh-CN"/>
        </w:rPr>
        <w:lastRenderedPageBreak/>
        <w:drawing>
          <wp:inline distT="0" distB="0" distL="0" distR="0" wp14:anchorId="07FF54E7" wp14:editId="289B834B">
            <wp:extent cx="3269268" cy="1821180"/>
            <wp:effectExtent l="0" t="0" r="762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2649" cy="1823064"/>
                    </a:xfrm>
                    <a:prstGeom prst="rect">
                      <a:avLst/>
                    </a:prstGeom>
                    <a:noFill/>
                    <a:ln>
                      <a:noFill/>
                    </a:ln>
                  </pic:spPr>
                </pic:pic>
              </a:graphicData>
            </a:graphic>
          </wp:inline>
        </w:drawing>
      </w:r>
    </w:p>
    <w:p w14:paraId="7108A803" w14:textId="39C3D689" w:rsidR="00DD48C5" w:rsidRDefault="00DD48C5" w:rsidP="00DD48C5">
      <w:pPr>
        <w:jc w:val="center"/>
        <w:rPr>
          <w:lang w:eastAsia="sv-SE"/>
        </w:rPr>
      </w:pPr>
      <w:r>
        <w:rPr>
          <w:rFonts w:hint="eastAsia"/>
          <w:lang w:eastAsia="sv-SE"/>
        </w:rPr>
        <w:t>F</w:t>
      </w:r>
      <w:r>
        <w:rPr>
          <w:lang w:eastAsia="sv-SE"/>
        </w:rPr>
        <w:t>igure 1: Directional chamber used for TAE testing</w:t>
      </w:r>
    </w:p>
    <w:p w14:paraId="290A19FE" w14:textId="343F629D" w:rsidR="00DD48C5" w:rsidRDefault="00DD48C5" w:rsidP="00DD48C5">
      <w:pPr>
        <w:jc w:val="center"/>
        <w:rPr>
          <w:lang w:eastAsia="sv-SE"/>
        </w:rPr>
      </w:pPr>
      <w:r w:rsidRPr="00DD48C5">
        <w:drawing>
          <wp:inline distT="0" distB="0" distL="0" distR="0" wp14:anchorId="582A4C94" wp14:editId="0E0F1A38">
            <wp:extent cx="4166521" cy="22555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4471" cy="2259823"/>
                    </a:xfrm>
                    <a:prstGeom prst="rect">
                      <a:avLst/>
                    </a:prstGeom>
                    <a:noFill/>
                    <a:ln>
                      <a:noFill/>
                    </a:ln>
                  </pic:spPr>
                </pic:pic>
              </a:graphicData>
            </a:graphic>
          </wp:inline>
        </w:drawing>
      </w:r>
    </w:p>
    <w:p w14:paraId="746D9C66" w14:textId="14E5084F" w:rsidR="00DD48C5" w:rsidRDefault="00DD48C5" w:rsidP="00DD48C5">
      <w:pPr>
        <w:jc w:val="center"/>
        <w:rPr>
          <w:lang w:eastAsia="sv-SE"/>
        </w:rPr>
      </w:pPr>
      <w:r>
        <w:rPr>
          <w:rFonts w:hint="eastAsia"/>
          <w:lang w:eastAsia="sv-SE"/>
        </w:rPr>
        <w:t>F</w:t>
      </w:r>
      <w:r>
        <w:rPr>
          <w:lang w:eastAsia="sv-SE"/>
        </w:rPr>
        <w:t>igure 2: Directional chamber for intra-node IAB-MT/IAN-DU TAE testing</w:t>
      </w:r>
    </w:p>
    <w:p w14:paraId="317C8881" w14:textId="48A2BC5A" w:rsidR="00DD48C5" w:rsidRDefault="00DD48C5" w:rsidP="00DD48C5">
      <w:pPr>
        <w:rPr>
          <w:lang w:eastAsia="sv-SE"/>
        </w:rPr>
      </w:pPr>
      <w:r>
        <w:rPr>
          <w:lang w:eastAsia="sv-SE"/>
        </w:rPr>
        <w:t xml:space="preserve">Its not clear existing chambers can have this capability as they are often designed to have specific quite zones and antennas placements. </w:t>
      </w:r>
    </w:p>
    <w:p w14:paraId="2620B771" w14:textId="0B4FA121" w:rsidR="00DD48C5" w:rsidRDefault="00DD48C5" w:rsidP="00DD48C5">
      <w:pPr>
        <w:rPr>
          <w:lang w:eastAsia="sv-SE"/>
        </w:rPr>
      </w:pPr>
      <w:r>
        <w:rPr>
          <w:lang w:eastAsia="sv-SE"/>
        </w:rPr>
        <w:t>So whilst we should not let the test complexity effect core requirement decision making unnecessarily, in this case it is likely that we will require significant investment in testing chambers updates and test calibration time etc. to carry out a test which we believe is not strictly required.</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224B29AF" w14:textId="5BF145F5" w:rsidR="00013B8E" w:rsidRDefault="00DD48C5" w:rsidP="00683DED">
      <w:pPr>
        <w:rPr>
          <w:lang w:eastAsia="sv-SE"/>
        </w:rPr>
      </w:pPr>
      <w:r>
        <w:rPr>
          <w:lang w:eastAsia="sv-SE"/>
        </w:rPr>
        <w:t>In this paper we once again look at the CASE#6 intra node timing issue between IAB-DU and IAB-MT we make the following observations:</w:t>
      </w:r>
    </w:p>
    <w:p w14:paraId="33960F24" w14:textId="77777777" w:rsidR="00DD48C5" w:rsidRDefault="00DD48C5" w:rsidP="00DD48C5">
      <w:pPr>
        <w:ind w:leftChars="100" w:left="200"/>
        <w:rPr>
          <w:lang w:eastAsia="sv-SE"/>
        </w:rPr>
      </w:pPr>
      <w:r w:rsidRPr="00927765">
        <w:rPr>
          <w:b/>
          <w:lang w:eastAsia="sv-SE"/>
        </w:rPr>
        <w:t xml:space="preserve">Observation 1: </w:t>
      </w:r>
      <w:r>
        <w:rPr>
          <w:lang w:eastAsia="sv-SE"/>
        </w:rPr>
        <w:t>For intra-node case#6 the timing through the RF TRX is the same as the existing TAE requirements.</w:t>
      </w:r>
    </w:p>
    <w:p w14:paraId="1E76B23D" w14:textId="77777777" w:rsidR="00DD48C5" w:rsidRDefault="00DD48C5" w:rsidP="00DD48C5">
      <w:pPr>
        <w:ind w:leftChars="100" w:left="200"/>
        <w:rPr>
          <w:lang w:eastAsia="sv-SE"/>
        </w:rPr>
      </w:pPr>
      <w:r w:rsidRPr="00927765">
        <w:rPr>
          <w:b/>
          <w:lang w:eastAsia="sv-SE"/>
        </w:rPr>
        <w:t>Observation 2:</w:t>
      </w:r>
      <w:r>
        <w:rPr>
          <w:lang w:eastAsia="sv-SE"/>
        </w:rPr>
        <w:t xml:space="preserve"> BB misalignment of signals should be covered by the cell phase alignment and should not be in the RF specification.</w:t>
      </w:r>
    </w:p>
    <w:p w14:paraId="1AD85270" w14:textId="623F8638" w:rsidR="00DD48C5" w:rsidRPr="00DD48C5" w:rsidRDefault="00DD48C5" w:rsidP="00683DED">
      <w:r>
        <w:t>We also show the significant test complexity such a requirement would add, and whilst we acknowledge test complexity is a conformance issue we believe we should not introduce a core requirement we don’t strictly need if the impact on test is so significant.</w:t>
      </w:r>
    </w:p>
    <w:sectPr w:rsidR="00DD48C5" w:rsidRPr="00DD48C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F8F8F" w14:textId="77777777" w:rsidR="008430A0" w:rsidRDefault="008430A0">
      <w:r>
        <w:separator/>
      </w:r>
    </w:p>
  </w:endnote>
  <w:endnote w:type="continuationSeparator" w:id="0">
    <w:p w14:paraId="1B18EEF3" w14:textId="77777777" w:rsidR="008430A0" w:rsidRDefault="0084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A52FC" w14:textId="77777777" w:rsidR="008430A0" w:rsidRDefault="008430A0">
      <w:r>
        <w:separator/>
      </w:r>
    </w:p>
  </w:footnote>
  <w:footnote w:type="continuationSeparator" w:id="0">
    <w:p w14:paraId="31E956FA" w14:textId="77777777" w:rsidR="008430A0" w:rsidRDefault="00843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36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3682">
      <w:rPr>
        <w:rFonts w:ascii="Arial" w:hAnsi="Arial" w:cs="Arial"/>
        <w:b/>
        <w:noProof/>
        <w:sz w:val="18"/>
        <w:szCs w:val="18"/>
      </w:rPr>
      <w:t>2</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36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7"/>
  </w:num>
  <w:num w:numId="4">
    <w:abstractNumId w:val="25"/>
  </w:num>
  <w:num w:numId="5">
    <w:abstractNumId w:val="13"/>
  </w:num>
  <w:num w:numId="6">
    <w:abstractNumId w:val="9"/>
  </w:num>
  <w:num w:numId="7">
    <w:abstractNumId w:val="0"/>
  </w:num>
  <w:num w:numId="8">
    <w:abstractNumId w:val="1"/>
  </w:num>
  <w:num w:numId="9">
    <w:abstractNumId w:val="7"/>
  </w:num>
  <w:num w:numId="10">
    <w:abstractNumId w:val="26"/>
  </w:num>
  <w:num w:numId="11">
    <w:abstractNumId w:val="14"/>
  </w:num>
  <w:num w:numId="12">
    <w:abstractNumId w:val="8"/>
  </w:num>
  <w:num w:numId="13">
    <w:abstractNumId w:val="22"/>
  </w:num>
  <w:num w:numId="14">
    <w:abstractNumId w:val="5"/>
  </w:num>
  <w:num w:numId="15">
    <w:abstractNumId w:val="15"/>
  </w:num>
  <w:num w:numId="16">
    <w:abstractNumId w:val="21"/>
  </w:num>
  <w:num w:numId="17">
    <w:abstractNumId w:val="2"/>
  </w:num>
  <w:num w:numId="18">
    <w:abstractNumId w:val="24"/>
  </w:num>
  <w:num w:numId="19">
    <w:abstractNumId w:val="18"/>
  </w:num>
  <w:num w:numId="20">
    <w:abstractNumId w:val="12"/>
  </w:num>
  <w:num w:numId="21">
    <w:abstractNumId w:val="6"/>
  </w:num>
  <w:num w:numId="22">
    <w:abstractNumId w:val="11"/>
  </w:num>
  <w:num w:numId="23">
    <w:abstractNumId w:val="23"/>
  </w:num>
  <w:num w:numId="24">
    <w:abstractNumId w:val="3"/>
  </w:num>
  <w:num w:numId="25">
    <w:abstractNumId w:val="19"/>
  </w:num>
  <w:num w:numId="26">
    <w:abstractNumId w:val="10"/>
  </w:num>
  <w:num w:numId="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07101"/>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446B"/>
    <w:rsid w:val="002B6339"/>
    <w:rsid w:val="002B653F"/>
    <w:rsid w:val="002D4665"/>
    <w:rsid w:val="002D6306"/>
    <w:rsid w:val="002E00EE"/>
    <w:rsid w:val="00302806"/>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A6B8E"/>
    <w:rsid w:val="004B4F52"/>
    <w:rsid w:val="004C0828"/>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49AE"/>
    <w:rsid w:val="007F4CAD"/>
    <w:rsid w:val="007F5C32"/>
    <w:rsid w:val="007F6374"/>
    <w:rsid w:val="00802731"/>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30A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27765"/>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8D3"/>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3682"/>
    <w:rsid w:val="00AB31E2"/>
    <w:rsid w:val="00AC4CD8"/>
    <w:rsid w:val="00AC6BC6"/>
    <w:rsid w:val="00AC6DE1"/>
    <w:rsid w:val="00AD039F"/>
    <w:rsid w:val="00AD0F89"/>
    <w:rsid w:val="00AD2276"/>
    <w:rsid w:val="00AD43C7"/>
    <w:rsid w:val="00AD593B"/>
    <w:rsid w:val="00AD76C5"/>
    <w:rsid w:val="00AE0882"/>
    <w:rsid w:val="00AE2BBF"/>
    <w:rsid w:val="00AE4148"/>
    <w:rsid w:val="00AE65E2"/>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0C72"/>
    <w:rsid w:val="00DC1B17"/>
    <w:rsid w:val="00DC309B"/>
    <w:rsid w:val="00DC4DA2"/>
    <w:rsid w:val="00DC61F1"/>
    <w:rsid w:val="00DD48C5"/>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57A5B"/>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B3DFA"/>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7CE03-9C28-43F9-888E-68ACC995E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2022-02-14T20:33:00Z</dcterms:created>
  <dcterms:modified xsi:type="dcterms:W3CDTF">2022-02-14T20:33:00Z</dcterms:modified>
</cp:coreProperties>
</file>